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21284" w14:textId="49145BD1" w:rsidR="00BE368C" w:rsidRDefault="00FC0949">
      <w:pPr>
        <w:spacing w:afterLines="50" w:after="156"/>
        <w:jc w:val="center"/>
        <w:rPr>
          <w:rFonts w:ascii="黑体" w:eastAsia="黑体"/>
          <w:sz w:val="32"/>
          <w:szCs w:val="32"/>
        </w:rPr>
      </w:pPr>
      <w:r>
        <w:rPr>
          <w:rFonts w:ascii="黑体" w:eastAsia="黑体" w:hint="eastAsia"/>
          <w:sz w:val="32"/>
          <w:szCs w:val="32"/>
        </w:rPr>
        <w:t>毕业论文（设计）开题报告</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368"/>
        <w:gridCol w:w="493"/>
        <w:gridCol w:w="559"/>
        <w:gridCol w:w="356"/>
        <w:gridCol w:w="1323"/>
        <w:gridCol w:w="1211"/>
        <w:gridCol w:w="2384"/>
      </w:tblGrid>
      <w:tr w:rsidR="00BE368C" w14:paraId="7BB3663E" w14:textId="77777777" w:rsidTr="00BB1020">
        <w:trPr>
          <w:trHeight w:val="495"/>
        </w:trPr>
        <w:tc>
          <w:tcPr>
            <w:tcW w:w="828" w:type="dxa"/>
            <w:vAlign w:val="center"/>
          </w:tcPr>
          <w:p w14:paraId="768D3FCC" w14:textId="77777777" w:rsidR="00BE368C" w:rsidRDefault="00FC0949">
            <w:pPr>
              <w:jc w:val="center"/>
              <w:rPr>
                <w:sz w:val="24"/>
              </w:rPr>
            </w:pPr>
            <w:r>
              <w:rPr>
                <w:rFonts w:hint="eastAsia"/>
                <w:sz w:val="24"/>
              </w:rPr>
              <w:t>学</w:t>
            </w:r>
            <w:r>
              <w:rPr>
                <w:rFonts w:hint="eastAsia"/>
                <w:sz w:val="24"/>
              </w:rPr>
              <w:t xml:space="preserve"> </w:t>
            </w:r>
            <w:r>
              <w:rPr>
                <w:rFonts w:hint="eastAsia"/>
                <w:sz w:val="24"/>
              </w:rPr>
              <w:t>院</w:t>
            </w:r>
          </w:p>
        </w:tc>
        <w:tc>
          <w:tcPr>
            <w:tcW w:w="2776" w:type="dxa"/>
            <w:gridSpan w:val="4"/>
            <w:vAlign w:val="center"/>
          </w:tcPr>
          <w:p w14:paraId="23D55A0A" w14:textId="61BD0434" w:rsidR="00BE368C" w:rsidRDefault="00BE368C">
            <w:pPr>
              <w:jc w:val="center"/>
              <w:rPr>
                <w:sz w:val="24"/>
              </w:rPr>
            </w:pPr>
          </w:p>
        </w:tc>
        <w:tc>
          <w:tcPr>
            <w:tcW w:w="1323" w:type="dxa"/>
            <w:vAlign w:val="center"/>
          </w:tcPr>
          <w:p w14:paraId="4AEBFEE2" w14:textId="77777777" w:rsidR="00BE368C" w:rsidRDefault="00FC0949">
            <w:pPr>
              <w:jc w:val="center"/>
              <w:rPr>
                <w:sz w:val="24"/>
              </w:rPr>
            </w:pPr>
            <w:r>
              <w:rPr>
                <w:rFonts w:hint="eastAsia"/>
                <w:sz w:val="24"/>
              </w:rPr>
              <w:t>专</w:t>
            </w:r>
            <w:r>
              <w:rPr>
                <w:rFonts w:hint="eastAsia"/>
                <w:sz w:val="24"/>
              </w:rPr>
              <w:t xml:space="preserve"> </w:t>
            </w:r>
            <w:r>
              <w:rPr>
                <w:rFonts w:hint="eastAsia"/>
                <w:sz w:val="24"/>
              </w:rPr>
              <w:t>业</w:t>
            </w:r>
          </w:p>
        </w:tc>
        <w:tc>
          <w:tcPr>
            <w:tcW w:w="3595" w:type="dxa"/>
            <w:gridSpan w:val="2"/>
            <w:vAlign w:val="center"/>
          </w:tcPr>
          <w:p w14:paraId="5A9E085B" w14:textId="2B572432" w:rsidR="00BE368C" w:rsidRDefault="00BE368C">
            <w:pPr>
              <w:jc w:val="center"/>
              <w:rPr>
                <w:sz w:val="24"/>
              </w:rPr>
            </w:pPr>
          </w:p>
        </w:tc>
      </w:tr>
      <w:tr w:rsidR="00BE368C" w14:paraId="727D374B" w14:textId="77777777" w:rsidTr="00BB1020">
        <w:trPr>
          <w:trHeight w:hRule="exact" w:val="482"/>
        </w:trPr>
        <w:tc>
          <w:tcPr>
            <w:tcW w:w="828" w:type="dxa"/>
            <w:vAlign w:val="center"/>
          </w:tcPr>
          <w:p w14:paraId="2C665AE6" w14:textId="77777777" w:rsidR="00BE368C" w:rsidRDefault="00FC0949">
            <w:pPr>
              <w:jc w:val="center"/>
              <w:rPr>
                <w:sz w:val="24"/>
              </w:rPr>
            </w:pPr>
            <w:r>
              <w:rPr>
                <w:rFonts w:hint="eastAsia"/>
                <w:sz w:val="24"/>
              </w:rPr>
              <w:t>姓</w:t>
            </w:r>
            <w:r>
              <w:rPr>
                <w:rFonts w:hint="eastAsia"/>
                <w:sz w:val="24"/>
              </w:rPr>
              <w:t xml:space="preserve"> </w:t>
            </w:r>
            <w:r>
              <w:rPr>
                <w:rFonts w:hint="eastAsia"/>
                <w:sz w:val="24"/>
              </w:rPr>
              <w:t>名</w:t>
            </w:r>
          </w:p>
        </w:tc>
        <w:tc>
          <w:tcPr>
            <w:tcW w:w="1368" w:type="dxa"/>
            <w:vAlign w:val="center"/>
          </w:tcPr>
          <w:p w14:paraId="6DBA057D" w14:textId="2D134FF9" w:rsidR="00BE368C" w:rsidRDefault="00BE368C">
            <w:pPr>
              <w:jc w:val="center"/>
              <w:rPr>
                <w:sz w:val="24"/>
              </w:rPr>
            </w:pPr>
          </w:p>
        </w:tc>
        <w:tc>
          <w:tcPr>
            <w:tcW w:w="1052" w:type="dxa"/>
            <w:gridSpan w:val="2"/>
            <w:vAlign w:val="center"/>
          </w:tcPr>
          <w:p w14:paraId="147187BF" w14:textId="77777777" w:rsidR="00BE368C" w:rsidRDefault="00FC0949">
            <w:pPr>
              <w:jc w:val="center"/>
              <w:rPr>
                <w:sz w:val="24"/>
              </w:rPr>
            </w:pPr>
            <w:r>
              <w:rPr>
                <w:rFonts w:hint="eastAsia"/>
                <w:sz w:val="24"/>
              </w:rPr>
              <w:t>学</w:t>
            </w:r>
            <w:r>
              <w:rPr>
                <w:rFonts w:hint="eastAsia"/>
                <w:sz w:val="24"/>
              </w:rPr>
              <w:t xml:space="preserve"> </w:t>
            </w:r>
            <w:r>
              <w:rPr>
                <w:rFonts w:hint="eastAsia"/>
                <w:sz w:val="24"/>
              </w:rPr>
              <w:t>号</w:t>
            </w:r>
          </w:p>
        </w:tc>
        <w:tc>
          <w:tcPr>
            <w:tcW w:w="1679" w:type="dxa"/>
            <w:gridSpan w:val="2"/>
            <w:vAlign w:val="center"/>
          </w:tcPr>
          <w:p w14:paraId="62715D43" w14:textId="58EFBE46" w:rsidR="00BE368C" w:rsidRDefault="00BE368C">
            <w:pPr>
              <w:rPr>
                <w:sz w:val="24"/>
              </w:rPr>
            </w:pPr>
          </w:p>
        </w:tc>
        <w:tc>
          <w:tcPr>
            <w:tcW w:w="1211" w:type="dxa"/>
            <w:vAlign w:val="center"/>
          </w:tcPr>
          <w:p w14:paraId="3213B9FE" w14:textId="77777777" w:rsidR="00BE368C" w:rsidRDefault="00FC0949">
            <w:pPr>
              <w:jc w:val="center"/>
              <w:rPr>
                <w:sz w:val="24"/>
              </w:rPr>
            </w:pPr>
            <w:r>
              <w:rPr>
                <w:rFonts w:hint="eastAsia"/>
                <w:sz w:val="24"/>
              </w:rPr>
              <w:t>报告日期</w:t>
            </w:r>
          </w:p>
        </w:tc>
        <w:tc>
          <w:tcPr>
            <w:tcW w:w="2384" w:type="dxa"/>
            <w:vAlign w:val="center"/>
          </w:tcPr>
          <w:p w14:paraId="39D31945" w14:textId="006373D4" w:rsidR="00BE368C" w:rsidRDefault="00BE368C">
            <w:pPr>
              <w:rPr>
                <w:color w:val="FF0000"/>
                <w:sz w:val="24"/>
              </w:rPr>
            </w:pPr>
          </w:p>
        </w:tc>
      </w:tr>
      <w:tr w:rsidR="00BE368C" w14:paraId="6C56A176" w14:textId="77777777" w:rsidTr="00C52B50">
        <w:trPr>
          <w:trHeight w:hRule="exact" w:val="482"/>
        </w:trPr>
        <w:tc>
          <w:tcPr>
            <w:tcW w:w="2689" w:type="dxa"/>
            <w:gridSpan w:val="3"/>
            <w:vAlign w:val="center"/>
          </w:tcPr>
          <w:p w14:paraId="48BF202C" w14:textId="77777777" w:rsidR="00BE368C" w:rsidRDefault="00FC0949">
            <w:pPr>
              <w:jc w:val="center"/>
              <w:rPr>
                <w:sz w:val="24"/>
              </w:rPr>
            </w:pPr>
            <w:r>
              <w:rPr>
                <w:rFonts w:hint="eastAsia"/>
                <w:sz w:val="24"/>
              </w:rPr>
              <w:t>论文（设计）题目</w:t>
            </w:r>
          </w:p>
        </w:tc>
        <w:tc>
          <w:tcPr>
            <w:tcW w:w="5833" w:type="dxa"/>
            <w:gridSpan w:val="5"/>
            <w:vAlign w:val="center"/>
          </w:tcPr>
          <w:p w14:paraId="67420F6C" w14:textId="10562601" w:rsidR="00BE368C" w:rsidRDefault="00FC0949">
            <w:pPr>
              <w:rPr>
                <w:rFonts w:cs="宋体"/>
                <w:color w:val="FF0000"/>
                <w:sz w:val="24"/>
              </w:rPr>
            </w:pPr>
            <w:r>
              <w:rPr>
                <w:rFonts w:cs="宋体" w:hint="eastAsia"/>
                <w:sz w:val="24"/>
              </w:rPr>
              <w:t xml:space="preserve">  </w:t>
            </w:r>
            <w:r w:rsidR="00A65D04">
              <w:rPr>
                <w:rFonts w:cs="宋体" w:hint="eastAsia"/>
                <w:sz w:val="24"/>
              </w:rPr>
              <w:t xml:space="preserve">浅析自媒体时代下直播带货的翻车现象</w:t>
            </w:r>
          </w:p>
        </w:tc>
      </w:tr>
      <w:tr w:rsidR="00BE368C" w14:paraId="1A38B506" w14:textId="77777777" w:rsidTr="00C52B50">
        <w:trPr>
          <w:trHeight w:hRule="exact" w:val="482"/>
        </w:trPr>
        <w:tc>
          <w:tcPr>
            <w:tcW w:w="2689" w:type="dxa"/>
            <w:gridSpan w:val="3"/>
            <w:vAlign w:val="center"/>
          </w:tcPr>
          <w:p w14:paraId="527D160A" w14:textId="77777777" w:rsidR="00BE368C" w:rsidRDefault="00FC0949">
            <w:pPr>
              <w:jc w:val="center"/>
              <w:rPr>
                <w:sz w:val="24"/>
              </w:rPr>
            </w:pPr>
            <w:r>
              <w:rPr>
                <w:rFonts w:hint="eastAsia"/>
                <w:sz w:val="24"/>
              </w:rPr>
              <w:t>指导教师</w:t>
            </w:r>
          </w:p>
        </w:tc>
        <w:tc>
          <w:tcPr>
            <w:tcW w:w="5833" w:type="dxa"/>
            <w:gridSpan w:val="5"/>
            <w:vAlign w:val="center"/>
          </w:tcPr>
          <w:p w14:paraId="23C3664F" w14:textId="53FCBA45" w:rsidR="00BE368C" w:rsidRDefault="00BE368C">
            <w:pPr>
              <w:ind w:firstLineChars="100" w:firstLine="240"/>
              <w:rPr>
                <w:sz w:val="24"/>
              </w:rPr>
            </w:pPr>
          </w:p>
        </w:tc>
      </w:tr>
      <w:tr w:rsidR="00BE368C" w14:paraId="0F06FA8C" w14:textId="77777777" w:rsidTr="00C52B50">
        <w:trPr>
          <w:trHeight w:hRule="exact" w:val="482"/>
        </w:trPr>
        <w:tc>
          <w:tcPr>
            <w:tcW w:w="2689" w:type="dxa"/>
            <w:gridSpan w:val="3"/>
            <w:vAlign w:val="center"/>
          </w:tcPr>
          <w:p w14:paraId="0C85763C" w14:textId="77777777" w:rsidR="00BE368C" w:rsidRDefault="00FC0949">
            <w:pPr>
              <w:jc w:val="center"/>
              <w:rPr>
                <w:sz w:val="24"/>
              </w:rPr>
            </w:pPr>
            <w:r>
              <w:rPr>
                <w:rFonts w:hint="eastAsia"/>
                <w:sz w:val="24"/>
              </w:rPr>
              <w:t>论文（设计）起止时间</w:t>
            </w:r>
          </w:p>
        </w:tc>
        <w:tc>
          <w:tcPr>
            <w:tcW w:w="5833" w:type="dxa"/>
            <w:gridSpan w:val="5"/>
            <w:vAlign w:val="center"/>
          </w:tcPr>
          <w:p w14:paraId="7715811C" w14:textId="2182D4F7" w:rsidR="00BE368C" w:rsidRPr="00C52B50" w:rsidRDefault="00BE368C">
            <w:pPr>
              <w:ind w:firstLineChars="100" w:firstLine="240"/>
              <w:rPr>
                <w:color w:val="FF0000"/>
                <w:sz w:val="24"/>
              </w:rPr>
            </w:pPr>
          </w:p>
        </w:tc>
      </w:tr>
      <w:tr w:rsidR="00BE368C" w14:paraId="3106C021" w14:textId="77777777" w:rsidTr="00BB1020">
        <w:trPr>
          <w:trHeight w:val="7952"/>
        </w:trPr>
        <w:tc>
          <w:tcPr>
            <w:tcW w:w="8522" w:type="dxa"/>
            <w:gridSpan w:val="8"/>
            <w:vAlign w:val="center"/>
          </w:tcPr>
          <w:p w14:paraId="4119AF13" w14:textId="4408A3D4" w:rsidR="008F4645" w:rsidRDefault="008F4645" w:rsidP="00F50E4F">
            <w:pPr>
              <w:pStyle w:val="a8"/>
              <w:shd w:val="clear" w:color="auto" w:fill="FFFFFF"/>
              <w:spacing w:before="0" w:beforeAutospacing="0" w:after="0" w:afterAutospacing="0" w:line="360" w:lineRule="auto"/>
              <w:ind w:firstLineChars="200" w:firstLine="420"/>
              <w:rPr>
                <w:color w:val="000000"/>
                <w:sz w:val="21"/>
              </w:rPr>
            </w:pPr>
            <w:r w:rsidRPr="00382A8F">
              <w:rPr>
                <w:color w:val="000000"/>
                <w:sz w:val="21"/>
              </w:rPr>
              <w:t xml:space="preserve"/>
            </w:r>
            <w:r w:rsidR="00C230CA" w:rsidRPr="00C230CA">
              <w:rPr>
                <w:color w:val="000000"/>
                <w:sz w:val="21"/>
              </w:rPr>
              <w:t xml:space="preserve"/>
            </w:r>
            <w:r w:rsidR="00BB1020">
              <w:rPr>
                <w:rFonts w:hint="eastAsia"/>
                <w:color w:val="000000"/>
                <w:sz w:val="21"/>
              </w:rPr>
              <w:t xml:space="preserve">一、研究背景</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在自媒体迅速发展的当今社会，直播带货作为一种新兴的商业模式，已成为许多品牌和商家推广产品的重要途径[1]。然而，随着直播带货的火爆，也出现了诸多翻车现象，包括产品质量问题、虚假宣传、主播失误等[2]。这些问题不仅影响了消费者的购买体验，也对整个行业的信誉和可持续发展产生了负面影响。因此，分析自媒体时代下直播带货的翻车现象，探讨其成因及影响，具有重要的现实意义和研究价值[3]。同时，本研究将为未来直播带货的规范化和健康发展提出建议，帮助商家和主播更好地应对市场挑战。</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二、研究目的</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在自媒体时代，直播带货作为一种新兴的商业模式迅速崛起，吸引了大量消费者和创业者的关注[4]。然而，这一现象背后也隐藏着许多问题，其中“翻车”现象尤为值得研究。本文旨在深入探讨直播带货中常见的翻车现象，包括其成因、影响及应对策略。</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研究将分析直播带货中翻车现象的定义及其表现形式，探讨这一现象给消费者、商家及平台带来的负面影响[5]。调查和总结导致翻车现象的主要因素，如主播素质、产品质量、宣传策略等，从而揭示其背后的逻辑关系。提出相应的对策和建议，帮助参与者更好地应对直播带货的挑战，提高平台的整体运营质量。</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通过以上研究，旨在为日益发展的直播带货行业提供理论支持及实践指导，以期推动其健康、稳定的发展[6]。</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三、研究内容和方法</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在本研究中，主要探讨自媒体时代下直播带货的翻车现象，旨在深入分析其原因、后果以及应对策略[7]。研究内容将从以下几个方面展开：</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1. *翻车现象的定义与表现*：首先将明确“翻车”这一概念在直播带货中所指的具体情况，包括直播过程中出现的失误、产品质量问题、主播与消费者之间的信任危机等[8]。将通过案例分析展示典型的翻车事件及其表现形式。</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2. *翻车现象的影响因素*：在这一部分，将剖析导致翻车现象发生的多种因素[9]。从主播的专业素养、产品选择与定位、观众心理、平台规则等方面进行深入讨论，解析这些因素如何相互作用，进而引发翻车事件。</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3. *翻车现象的后果*：探讨翻车现象对各方的影响，包括对主播个人品牌的打击、对消费者信任度的减少、以及对整个直播带货行业的负面效应[10]。将通过调查问卷和访谈等方法收集相关数据，评估这些后果的严重性。</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4. *应对策略与改进建议*：结合前述分析，提出针对性解决方案和改进建议，以减少翻车现象的发生[11]。这部分将包括对主播的培训建议、产品审核机制的完善、以及平台对直播内容的监管措施等。</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研究方法方面，将采用文献分析法、案例研究法和问卷调查法等多种研究手段，以确保研究的全面性和深入性。通过分析现有文献，结合实际案例和调查数据，力求为直播带货行业的发展提供有益的参考和建议[12]。</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四、国内外研究现状综述</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在自媒体时代，直播带货作为一种新兴的商业模式，受到了广泛关注[13]。国内外学者对直播带货现象进行了多角度的研究，主要集中在以下几个方面：</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国外研究相对较早，重点关注直播带货的商业模式和消费者行为。许多研究探讨了直播带货如何通过互动性和即时性增强用户的购买意愿，并分析了不同社交媒体平台对用户行为的影响[14]。部分研究还涉及了品牌与直播主之间的合作关系和其对品牌形象的影响。</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国内研究开始逐渐增多，研究者们从社会文化、市场营销以及法律规范等多个维度进行探讨。一些学者关注直播带货的传播特征和受众特征，分析其如何改变了传统消费模式及其对消费者决策的影响[15]。还有研究探讨了在直播带货过程中可能存在的信任危机和翻车现象，这一问题引起了公众的广泛讨论，成为学术界关注的焦点[16]。</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虽然已有一些关于直播带货翻车现象的探讨，但系统性研究仍显不足[17]。关于翻车现象的成因、影响及其应对策略的深入分析，仍需更为详实的案例研究与实证分析，以促进这一领域的进一步探索。</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当前国内外对直播带货的研究虽已有一定基础，但在个别现象的深入分析方面尚需加强，特别是翻车现象的科学探讨仍待深化。这一领域的研究不仅能够为理论发展提供支持，也对实践中的有效应对具有重要指导意义。</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五、预期结果和意义</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在自媒体时代，直播带货作为一种新兴的销售模式，已逐渐成为商品推广的重要途径[18]。然而，随着其发展，直播带货的“翻车”现象也日益突出。本研究旨在通过对这一现象的深入分析，预期能够取得以下结果：</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从理论层面为自媒体时代下直播带货的研究提供新的视角和分析框架，帮助学术界更好地理解这一领域的发展趋势与问题所在[19]。</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通过对翻车现象的案例研究，揭示在直播带货过程中存在的常见风险及其成因，为相关从业者和企业提供实用的指导和建议，以提高直播带货的成功率[20]。</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研究成果能够为政策制定者在自媒体和电商监管方面提供参考，推动行业的健康发展，促进整个电商生态的优化。</w:t>
            </w:r>
            <w:r w:rsidR="00C230CA" w:rsidRPr="00C230CA">
              <w:rPr>
                <w:color w:val="000000"/>
                <w:sz w:val="21"/>
              </w:rPr>
              <w:t xml:space="preserve"/>
            </w:r>
          </w:p>
          <w:p w14:paraId="28E9EBC5" w14:textId="35C9394C" w:rsidR="00BE368C" w:rsidRPr="00F50E4F" w:rsidRDefault="005F595F" w:rsidP="00F50E4F">
            <w:pPr>
              <w:pStyle w:val="a8"/>
              <w:shd w:val="clear" w:color="auto" w:fill="FFFFFF"/>
              <w:spacing w:before="0" w:beforeAutospacing="0" w:after="0" w:afterAutospacing="0" w:line="360" w:lineRule="auto"/>
              <w:ind w:firstLineChars="200" w:firstLine="420"/>
              <w:rPr>
                <w:color w:val="000000"/>
                <w:sz w:val="21"/>
              </w:rPr>
            </w:pPr>
            <w:r>
              <w:rPr>
                <w:color w:val="000000"/>
                <w:sz w:val="21"/>
              </w:rPr>
              <w:t xml:space="preserve"/>
            </w:r>
            <w:r w:rsidR="00BB1020">
              <w:rPr>
                <w:rFonts w:hint="eastAsia"/>
                <w:color w:val="000000"/>
                <w:sz w:val="21"/>
              </w:rPr>
              <w:t xml:space="preserve">总体而言，本研究不仅具有学术价值，同时也具备较强的现实意义，期望能够为未来自媒体与电商结合的深度发展贡献力量。</w:t>
            </w:r>
          </w:p>
        </w:tc>
      </w:tr>
      <w:tr w:rsidR="00314208" w14:paraId="6A91F933" w14:textId="77777777" w:rsidTr="00BB1020">
        <w:tc>
          <w:tcPr>
            <w:tcW w:w="8522" w:type="dxa"/>
            <w:gridSpan w:val="8"/>
            <w:vAlign w:val="center"/>
          </w:tcPr>
          <w:p w14:paraId="1A6521FA" w14:textId="76DC6445" w:rsidR="00314208" w:rsidRDefault="00314208" w:rsidP="00314208">
            <w:pPr>
              <w:spacing w:beforeLines="50" w:before="156" w:afterLines="50" w:after="156" w:line="280" w:lineRule="atLeast"/>
              <w:rPr>
                <w:rFonts w:ascii="华文中宋" w:eastAsia="华文中宋" w:hAnsi="华文中宋" w:cs="华文中宋"/>
                <w:color w:val="000000"/>
                <w:sz w:val="28"/>
              </w:rPr>
            </w:pPr>
            <w:r>
              <w:rPr>
                <w:rFonts w:ascii="华文中宋" w:eastAsia="华文中宋" w:hAnsi="华文中宋" w:cs="华文中宋" w:hint="eastAsia"/>
                <w:color w:val="000000"/>
                <w:sz w:val="28"/>
              </w:rPr>
              <w:t xml:space="preserve">完成措施及进度安排</w:t>
            </w:r>
          </w:p>
          <w:p w14:paraId="0F930BFE" w14:textId="7007092F" w:rsidR="00314208" w:rsidRPr="00314208" w:rsidRDefault="00314208" w:rsidP="00314208">
            <w:pPr>
              <w:rPr>
                <w:rFonts w:ascii="宋体" w:hAnsi="宋体" w:cs="宋体"/>
                <w:color w:val="000000"/>
              </w:rPr>
            </w:pPr>
            <w:r w:rsidRPr="00314208">
              <w:rPr>
                <w:rFonts w:ascii="宋体" w:hAnsi="宋体" w:cs="宋体"/>
                <w:color w:val="000000"/>
              </w:rPr>
              <w:t xml:space="preserve">20xx.12.18-20xx.12.27 确定选题;</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20xx.12.27-20xx.2.28 根据任务书，查阅文献资料，学习理论知识;</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20xx.3.1-20xx.3.4 完成开题报告;</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20xx.3.4-20xx.4.4 完成完成开发平台的搭建，初步开发;</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20xx.4.5-20xx.4.9 完成中期检查;</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20xx.4.9-20xx.4.24 完成整个系统设计;</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20xx.4.25-20xx.5.3 撰写论文;</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20xx.5.4-20xx.5.11 完成论文，提交指导老师、评阅老师审阅;</w:t>
            </w:r>
          </w:p>
          <w:p w14:paraId="5EADEACE" w14:textId="3421FFE6" w:rsidR="00314208" w:rsidRDefault="00314208" w:rsidP="00314208">
            <w:pPr>
              <w:rPr>
                <w:rFonts w:ascii="宋体" w:hAnsi="宋体" w:cs="宋体"/>
                <w:color w:val="000000"/>
              </w:rPr>
            </w:pPr>
            <w:r w:rsidRPr="00314208">
              <w:rPr>
                <w:rFonts w:ascii="宋体" w:hAnsi="宋体" w:cs="宋体"/>
                <w:color w:val="000000"/>
              </w:rPr>
              <w:t xml:space="preserve">20xx.5.17-20xx.5.23 完成论文答辩。</w:t>
            </w:r>
          </w:p>
          <w:p w14:paraId="6FF1C4FB" w14:textId="16D4474E" w:rsidR="00314208" w:rsidRDefault="00314208">
            <w:pPr>
              <w:rPr>
                <w:b/>
                <w:sz w:val="24"/>
              </w:rPr>
            </w:pPr>
          </w:p>
          <w:p w14:paraId="3347F515" w14:textId="19AF2A2D" w:rsidR="00314208" w:rsidRDefault="00314208">
            <w:pPr>
              <w:rPr>
                <w:b/>
                <w:sz w:val="24"/>
              </w:rPr>
            </w:pPr>
          </w:p>
        </w:tc>
      </w:tr>
      <w:tr w:rsidR="004E5CCE" w14:paraId="5146770B" w14:textId="77777777" w:rsidTr="00BB1020">
        <w:tc>
          <w:tcPr>
            <w:tcW w:w="8522" w:type="dxa"/>
            <w:gridSpan w:val="8"/>
            <w:vAlign w:val="center"/>
          </w:tcPr>
          <w:p w14:paraId="11F2BE51" w14:textId="3C69084C" w:rsidR="004E5CCE" w:rsidRDefault="004E5CCE" w:rsidP="004E5CCE">
            <w:pPr>
              <w:spacing w:beforeLines="50" w:before="156" w:afterLines="50" w:after="156" w:line="280" w:lineRule="atLeast"/>
              <w:rPr>
                <w:rFonts w:ascii="华文中宋" w:eastAsia="华文中宋" w:hAnsi="华文中宋" w:cs="华文中宋"/>
                <w:color w:val="000000"/>
                <w:sz w:val="28"/>
              </w:rPr>
            </w:pPr>
            <w:r>
              <w:rPr>
                <w:rFonts w:ascii="华文中宋" w:eastAsia="华文中宋" w:hAnsi="华文中宋" w:cs="华文中宋" w:hint="eastAsia"/>
                <w:color w:val="000000"/>
                <w:sz w:val="28"/>
              </w:rPr>
              <w:t xml:space="preserve">主要参考文献</w:t>
            </w:r>
          </w:p>
          <w:p w14:paraId="0C3CB434" w14:textId="7DB9EB47" w:rsidR="004E5CCE" w:rsidRPr="00314208" w:rsidRDefault="004E5CCE" w:rsidP="004E5CCE">
            <w:pPr>
              <w:rPr>
                <w:rFonts w:ascii="宋体" w:hAnsi="宋体" w:cs="宋体"/>
                <w:color w:val="000000"/>
              </w:rPr>
            </w:pPr>
            <w:r w:rsidRPr="00314208">
              <w:rPr>
                <w:rFonts w:ascii="宋体" w:hAnsi="宋体" w:cs="宋体"/>
                <w:color w:val="000000"/>
              </w:rPr>
              <w:t xml:space="preserve">[1]秦恒.媒体融合背景下城市广电直播带货模式探索[J].新闻前哨,2021,(01):31-33.</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[2]沈俊.从网红直播带货“翻车”说起[J].质量与标准化,2021,(03):33-35.</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[3]刘鸿儒.多元情境下的身份冲突：媒介情境论视域下明星直播带货翻车现象之透析[J].湖北经济学院学报(人文社会科学版),2021,18(08):104-107.</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[4]吕佳忆.5G时代融媒体直播带货模式研究[J].大学,2021,(45):107-109.</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[5]陈雨澜.直播带货现象的经济学分析[J].中国商论,2021,(07):1-3.</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[6]何雨昕,程语莹.浅析直播带货中的虚假宣传行为[J].秦智,2022,(10):24-26.</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[7]董召锋.主流媒体“直播带货”现象探析[J].传媒,2022,(15):79-81.</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[8]直播带货“翻车”怎么破？(下)[N].东方烟草报,2021-03-14(A05).</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[9]Ģirts Jankovskis.The Phenomenon of the New in the Context of Social Media[J].Glimpse,2021,22(1):</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[10]邹开亮,陈梦如.直播带货“翻车”事件中主播的赔偿责任[J].宜宾学院学报,2023,23(05):56-61+91.</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[11]Zhou Zhi.The Analysis of Click Bait in We Media Era[A].2022:</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[12]王俊杰.浅析直播带货的利与弊[J].全国流通经济,2021,(09):21-23.</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[13]张飞越.论自媒体对直播带货的赋能及反思[J].商场现代化,2022,(05):5-7.</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[14]贾晓妮.融媒背景下主流媒体公益直播带货现象探析——以“小朱配琦”为例[J].传媒论坛,2021,4(09):45-46.</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[15]陈雪曼.消费景观视域内的直播带货现象批判[J].科技传播,2021,13(14):136-139+176.</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[16]刘孟妍.网络直播带货的税收问题浅析[J].秦智,2023,(07):157-159.</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[17]李彦臻.治理直播带货虚假火爆现象[N].经济日报,2023-11-20(003).</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[18]唐小堞.直播带货为何屡“翻车”？[N].重庆商报,2021-09-07(004).</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[19]权娇阳.互动仪式链视角下的县长直播带货现象研究[D].导师：李鹏.天津体育学院,2022.</w:t>
            </w:r>
          </w:p>
          <w:p w14:paraId="0FD9F0D5" w14:textId="77777777" w:rsidR="004E5CCE" w:rsidRDefault="004E5CCE" w:rsidP="004E5CCE">
            <w:pPr>
              <w:rPr>
                <w:rFonts w:ascii="宋体" w:hAnsi="宋体" w:cs="宋体"/>
                <w:color w:val="000000"/>
              </w:rPr>
            </w:pPr>
            <w:r w:rsidRPr="00314208">
              <w:rPr>
                <w:rFonts w:ascii="宋体" w:hAnsi="宋体" w:cs="宋体"/>
                <w:color w:val="000000"/>
              </w:rPr>
              <w:t xml:space="preserve">[20]林鸿.论明星带货不等于带货明星——以直播带货销售差距的现象为例[J].中国市场,2022,(01):131-132.</w:t>
            </w:r>
          </w:p>
          <w:p w14:paraId="150EEF35" w14:textId="37ACBDA2" w:rsidR="004E5CCE" w:rsidRDefault="004E5CCE">
            <w:pPr>
              <w:rPr>
                <w:b/>
                <w:sz w:val="24"/>
              </w:rPr>
            </w:pPr>
          </w:p>
          <w:p w14:paraId="3BFC188C" w14:textId="6A1A7BDE" w:rsidR="004E5CCE" w:rsidRDefault="004E5CCE">
            <w:pPr>
              <w:rPr>
                <w:b/>
                <w:sz w:val="24"/>
              </w:rPr>
            </w:pPr>
          </w:p>
        </w:tc>
      </w:tr>
      <w:tr w:rsidR="00BE368C" w14:paraId="4B4C3063" w14:textId="77777777" w:rsidTr="00BB1020">
        <w:tc>
          <w:tcPr>
            <w:tcW w:w="8522" w:type="dxa"/>
            <w:gridSpan w:val="8"/>
            <w:vAlign w:val="center"/>
          </w:tcPr>
          <w:p w14:paraId="2FDE54C4" w14:textId="699F826F" w:rsidR="00BE368C" w:rsidRDefault="00FC0949">
            <w:pPr>
              <w:rPr>
                <w:b/>
                <w:sz w:val="24"/>
              </w:rPr>
            </w:pPr>
            <w:r>
              <w:rPr>
                <w:rFonts w:hint="eastAsia"/>
                <w:b/>
                <w:sz w:val="24"/>
              </w:rPr>
              <w:t>指导教师意见</w:t>
            </w:r>
          </w:p>
          <w:p w14:paraId="226C6C4F" w14:textId="77777777" w:rsidR="00BE368C" w:rsidRDefault="00BE368C">
            <w:pPr>
              <w:spacing w:line="360" w:lineRule="auto"/>
              <w:jc w:val="left"/>
              <w:rPr>
                <w:sz w:val="24"/>
              </w:rPr>
            </w:pPr>
          </w:p>
          <w:p w14:paraId="3483DF5A" w14:textId="77777777" w:rsidR="00BE368C" w:rsidRDefault="00BE368C">
            <w:pPr>
              <w:jc w:val="center"/>
              <w:rPr>
                <w:sz w:val="24"/>
              </w:rPr>
            </w:pPr>
          </w:p>
          <w:p w14:paraId="421C5291" w14:textId="77777777" w:rsidR="00BE368C" w:rsidRDefault="00BE368C">
            <w:pPr>
              <w:jc w:val="center"/>
              <w:rPr>
                <w:sz w:val="24"/>
              </w:rPr>
            </w:pPr>
          </w:p>
          <w:p w14:paraId="53985A78" w14:textId="77777777" w:rsidR="00BE368C" w:rsidRDefault="00BE368C">
            <w:pPr>
              <w:jc w:val="center"/>
              <w:rPr>
                <w:sz w:val="24"/>
              </w:rPr>
            </w:pPr>
          </w:p>
          <w:p w14:paraId="16D3869D" w14:textId="77777777" w:rsidR="00BE368C" w:rsidRDefault="00BE368C">
            <w:pPr>
              <w:jc w:val="center"/>
              <w:rPr>
                <w:sz w:val="24"/>
              </w:rPr>
            </w:pPr>
          </w:p>
          <w:p w14:paraId="4BDFE06B" w14:textId="77777777" w:rsidR="00BE368C" w:rsidRDefault="00BE368C">
            <w:pPr>
              <w:rPr>
                <w:sz w:val="24"/>
              </w:rPr>
            </w:pPr>
          </w:p>
          <w:p w14:paraId="66B1493A" w14:textId="77777777" w:rsidR="00BE368C" w:rsidRDefault="00BE368C">
            <w:pPr>
              <w:jc w:val="center"/>
              <w:rPr>
                <w:sz w:val="24"/>
              </w:rPr>
            </w:pPr>
          </w:p>
          <w:p w14:paraId="3A53268A" w14:textId="253A7A7D" w:rsidR="00BE368C" w:rsidRDefault="00FC0949">
            <w:pPr>
              <w:jc w:val="center"/>
              <w:rPr>
                <w:sz w:val="24"/>
              </w:rPr>
            </w:pPr>
            <w:r>
              <w:rPr>
                <w:rFonts w:hint="eastAsia"/>
                <w:sz w:val="24"/>
              </w:rPr>
              <w:t xml:space="preserve">                                        </w:t>
            </w:r>
            <w:r w:rsidR="00A65D04">
              <w:rPr>
                <w:sz w:val="24"/>
              </w:rPr>
              <w:t xml:space="preserve">  </w:t>
            </w:r>
            <w:r>
              <w:rPr>
                <w:rFonts w:hint="eastAsia"/>
                <w:sz w:val="24"/>
              </w:rPr>
              <w:t>指导教师签字：</w:t>
            </w:r>
            <w:r w:rsidR="00A65D04">
              <w:rPr>
                <w:sz w:val="24"/>
              </w:rPr>
              <w:t xml:space="preserve"> </w:t>
            </w:r>
          </w:p>
          <w:p w14:paraId="22FA4843" w14:textId="7C77A980" w:rsidR="00BE368C" w:rsidRDefault="00FC0949">
            <w:pPr>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sidR="00A65D04">
              <w:rPr>
                <w:sz w:val="24"/>
              </w:rPr>
              <w:t xml:space="preserve">  </w:t>
            </w:r>
            <w:r>
              <w:rPr>
                <w:rFonts w:hint="eastAsia"/>
                <w:sz w:val="24"/>
              </w:rPr>
              <w:t>日</w:t>
            </w:r>
          </w:p>
          <w:p w14:paraId="76B2FACB" w14:textId="77777777" w:rsidR="00BE368C" w:rsidRDefault="00BE368C">
            <w:pPr>
              <w:jc w:val="center"/>
              <w:rPr>
                <w:sz w:val="24"/>
              </w:rPr>
            </w:pPr>
          </w:p>
        </w:tc>
      </w:tr>
      <w:tr w:rsidR="00BE368C" w14:paraId="50F173EE" w14:textId="77777777" w:rsidTr="00BB1020">
        <w:tc>
          <w:tcPr>
            <w:tcW w:w="8522" w:type="dxa"/>
            <w:gridSpan w:val="8"/>
            <w:vAlign w:val="center"/>
          </w:tcPr>
          <w:p w14:paraId="44E91C82" w14:textId="6A9FF339" w:rsidR="00BE368C" w:rsidRDefault="00FC0949">
            <w:pPr>
              <w:rPr>
                <w:b/>
                <w:sz w:val="24"/>
              </w:rPr>
            </w:pPr>
            <w:r>
              <w:rPr>
                <w:rFonts w:hint="eastAsia"/>
                <w:b/>
                <w:sz w:val="24"/>
              </w:rPr>
              <w:t>答辩小组意见</w:t>
            </w:r>
          </w:p>
          <w:p w14:paraId="3DF77933" w14:textId="77777777" w:rsidR="00BE368C" w:rsidRDefault="00BE368C">
            <w:pPr>
              <w:jc w:val="center"/>
              <w:rPr>
                <w:sz w:val="24"/>
              </w:rPr>
            </w:pPr>
          </w:p>
          <w:p w14:paraId="59F1686D" w14:textId="77777777" w:rsidR="00BE368C" w:rsidRDefault="00BE368C">
            <w:pPr>
              <w:jc w:val="center"/>
              <w:rPr>
                <w:sz w:val="24"/>
              </w:rPr>
            </w:pPr>
          </w:p>
          <w:p w14:paraId="1D4001B4" w14:textId="77777777" w:rsidR="00BE368C" w:rsidRDefault="00BE368C">
            <w:pPr>
              <w:jc w:val="center"/>
              <w:rPr>
                <w:sz w:val="24"/>
              </w:rPr>
            </w:pPr>
          </w:p>
          <w:p w14:paraId="3B8E23A4" w14:textId="77777777" w:rsidR="00BE368C" w:rsidRDefault="00BE368C">
            <w:pPr>
              <w:jc w:val="center"/>
              <w:rPr>
                <w:sz w:val="24"/>
              </w:rPr>
            </w:pPr>
          </w:p>
          <w:p w14:paraId="56FA2ED5" w14:textId="77777777" w:rsidR="00BE368C" w:rsidRDefault="00FC0949">
            <w:pPr>
              <w:jc w:val="center"/>
              <w:rPr>
                <w:sz w:val="24"/>
              </w:rPr>
            </w:pPr>
            <w:r>
              <w:rPr>
                <w:rFonts w:hint="eastAsia"/>
                <w:sz w:val="24"/>
              </w:rPr>
              <w:t xml:space="preserve">                            </w:t>
            </w:r>
          </w:p>
          <w:p w14:paraId="56E37C91" w14:textId="77777777" w:rsidR="00BE368C" w:rsidRDefault="00BE368C">
            <w:pPr>
              <w:jc w:val="center"/>
              <w:rPr>
                <w:sz w:val="24"/>
              </w:rPr>
            </w:pPr>
          </w:p>
          <w:p w14:paraId="702EA2AF" w14:textId="77777777" w:rsidR="00BE368C" w:rsidRDefault="00BE368C">
            <w:pPr>
              <w:jc w:val="center"/>
              <w:rPr>
                <w:sz w:val="24"/>
              </w:rPr>
            </w:pPr>
          </w:p>
          <w:p w14:paraId="482415E0" w14:textId="77777777" w:rsidR="00BE368C" w:rsidRDefault="00FC0949">
            <w:pPr>
              <w:jc w:val="center"/>
              <w:rPr>
                <w:sz w:val="24"/>
              </w:rPr>
            </w:pPr>
            <w:r>
              <w:rPr>
                <w:rFonts w:hint="eastAsia"/>
                <w:sz w:val="24"/>
              </w:rPr>
              <w:t xml:space="preserve">                                        </w:t>
            </w:r>
            <w:r>
              <w:rPr>
                <w:rFonts w:hint="eastAsia"/>
                <w:sz w:val="24"/>
              </w:rPr>
              <w:t>组长签字：</w:t>
            </w:r>
          </w:p>
          <w:p w14:paraId="2B68076C" w14:textId="77777777" w:rsidR="00BE368C" w:rsidRDefault="00FC0949">
            <w:pPr>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59F9460E" w14:textId="77777777" w:rsidR="00FC0949" w:rsidRDefault="00FC0949"/>
    <w:sectPr w:rsidR="00FC0949">
      <w:footerReference w:type="even" r:id="rId7"/>
      <w:footerReference w:type="default" r:id="rId8"/>
      <w:endnotePr>
        <w:numFmt w:val="decimal"/>
      </w:endnotePr>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2B96E" w14:textId="77777777" w:rsidR="00152C16" w:rsidRDefault="00152C16">
      <w:pPr>
        <w:rPr>
          <w:sz w:val="18"/>
        </w:rPr>
      </w:pPr>
    </w:p>
  </w:endnote>
  <w:endnote w:type="continuationSeparator" w:id="0">
    <w:p w14:paraId="14E8D8C0" w14:textId="77777777" w:rsidR="00152C16" w:rsidRDefault="00152C16">
      <w:pPr>
        <w:rPr>
          <w:sz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1F232" w14:textId="77777777" w:rsidR="00BE368C" w:rsidRDefault="00FC0949">
    <w:pPr>
      <w:pStyle w:val="aa"/>
      <w:framePr w:wrap="around" w:vAnchor="text" w:hAnchor="margin" w:xAlign="center" w:y="1"/>
      <w:rPr>
        <w:rStyle w:val="a6"/>
      </w:rPr>
    </w:pPr>
    <w:r>
      <w:fldChar w:fldCharType="begin"/>
    </w:r>
    <w:r>
      <w:rPr>
        <w:rStyle w:val="a6"/>
      </w:rPr>
      <w:instrText xml:space="preserve">PAGE  </w:instrText>
    </w:r>
    <w:r>
      <w:fldChar w:fldCharType="end"/>
    </w:r>
  </w:p>
  <w:p w14:paraId="51454A19" w14:textId="77777777" w:rsidR="00BE368C" w:rsidRDefault="00BE368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64127" w14:textId="77777777" w:rsidR="00BE368C" w:rsidRDefault="00FC0949">
    <w:pPr>
      <w:pStyle w:val="aa"/>
      <w:framePr w:wrap="around" w:vAnchor="text" w:hAnchor="margin" w:xAlign="center" w:y="1"/>
      <w:rPr>
        <w:rStyle w:val="a6"/>
      </w:rPr>
    </w:pPr>
    <w:r>
      <w:fldChar w:fldCharType="begin"/>
    </w:r>
    <w:r>
      <w:rPr>
        <w:rStyle w:val="a6"/>
      </w:rPr>
      <w:instrText xml:space="preserve">PAGE  </w:instrText>
    </w:r>
    <w:r>
      <w:fldChar w:fldCharType="separate"/>
    </w:r>
    <w:r>
      <w:rPr>
        <w:rStyle w:val="a6"/>
      </w:rPr>
      <w:t>3</w:t>
    </w:r>
    <w:r>
      <w:fldChar w:fldCharType="end"/>
    </w:r>
  </w:p>
  <w:p w14:paraId="1D8E1FF4" w14:textId="77777777" w:rsidR="00BE368C" w:rsidRDefault="00BE36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DE0E3" w14:textId="77777777" w:rsidR="00152C16" w:rsidRDefault="00152C16">
      <w:pPr>
        <w:rPr>
          <w:sz w:val="18"/>
        </w:rPr>
      </w:pPr>
    </w:p>
  </w:footnote>
  <w:footnote w:type="continuationSeparator" w:id="0">
    <w:p w14:paraId="2A99F386" w14:textId="77777777" w:rsidR="00152C16" w:rsidRDefault="00152C16">
      <w:pPr>
        <w:rPr>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50291C"/>
    <w:multiLevelType w:val="multilevel"/>
    <w:tmpl w:val="2950291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44C"/>
    <w:rsid w:val="0001684A"/>
    <w:rsid w:val="00052AD5"/>
    <w:rsid w:val="00062FAC"/>
    <w:rsid w:val="000631DB"/>
    <w:rsid w:val="00065DDD"/>
    <w:rsid w:val="00082993"/>
    <w:rsid w:val="000907E9"/>
    <w:rsid w:val="000A087B"/>
    <w:rsid w:val="000C6D72"/>
    <w:rsid w:val="000D1C58"/>
    <w:rsid w:val="000E6CE3"/>
    <w:rsid w:val="00147755"/>
    <w:rsid w:val="00152C16"/>
    <w:rsid w:val="0015584C"/>
    <w:rsid w:val="00174275"/>
    <w:rsid w:val="0017665B"/>
    <w:rsid w:val="00187CB1"/>
    <w:rsid w:val="00195804"/>
    <w:rsid w:val="001A1579"/>
    <w:rsid w:val="001A25FE"/>
    <w:rsid w:val="001C3DAF"/>
    <w:rsid w:val="001C4DD9"/>
    <w:rsid w:val="001C5F7A"/>
    <w:rsid w:val="001E4963"/>
    <w:rsid w:val="00204438"/>
    <w:rsid w:val="00204503"/>
    <w:rsid w:val="00205C8B"/>
    <w:rsid w:val="00206D85"/>
    <w:rsid w:val="00231806"/>
    <w:rsid w:val="00247ADA"/>
    <w:rsid w:val="00250943"/>
    <w:rsid w:val="002773BA"/>
    <w:rsid w:val="00284D84"/>
    <w:rsid w:val="002A3BC5"/>
    <w:rsid w:val="002C4B5C"/>
    <w:rsid w:val="00314208"/>
    <w:rsid w:val="00314397"/>
    <w:rsid w:val="00363CB5"/>
    <w:rsid w:val="0036544C"/>
    <w:rsid w:val="00373FC3"/>
    <w:rsid w:val="00382A8F"/>
    <w:rsid w:val="00392D83"/>
    <w:rsid w:val="00397613"/>
    <w:rsid w:val="003A3F8D"/>
    <w:rsid w:val="003B2222"/>
    <w:rsid w:val="003B4C47"/>
    <w:rsid w:val="003B4CC1"/>
    <w:rsid w:val="003B55E8"/>
    <w:rsid w:val="003C0955"/>
    <w:rsid w:val="00402C93"/>
    <w:rsid w:val="0041342A"/>
    <w:rsid w:val="00414CA0"/>
    <w:rsid w:val="00422964"/>
    <w:rsid w:val="004E5CCE"/>
    <w:rsid w:val="00544538"/>
    <w:rsid w:val="00564F56"/>
    <w:rsid w:val="005658B7"/>
    <w:rsid w:val="0059410D"/>
    <w:rsid w:val="005B4D1B"/>
    <w:rsid w:val="005B736D"/>
    <w:rsid w:val="005D460C"/>
    <w:rsid w:val="005E0941"/>
    <w:rsid w:val="005F4E08"/>
    <w:rsid w:val="005F595F"/>
    <w:rsid w:val="00601D69"/>
    <w:rsid w:val="0060237D"/>
    <w:rsid w:val="006117A6"/>
    <w:rsid w:val="00612C25"/>
    <w:rsid w:val="0062384B"/>
    <w:rsid w:val="00631DA5"/>
    <w:rsid w:val="00641B48"/>
    <w:rsid w:val="0068163A"/>
    <w:rsid w:val="006A2A27"/>
    <w:rsid w:val="00725232"/>
    <w:rsid w:val="007622E4"/>
    <w:rsid w:val="00777526"/>
    <w:rsid w:val="00790CE5"/>
    <w:rsid w:val="00791F72"/>
    <w:rsid w:val="007A16E0"/>
    <w:rsid w:val="007A3FAA"/>
    <w:rsid w:val="007D3943"/>
    <w:rsid w:val="007D3A5E"/>
    <w:rsid w:val="007F44FD"/>
    <w:rsid w:val="00822010"/>
    <w:rsid w:val="0084107E"/>
    <w:rsid w:val="00841900"/>
    <w:rsid w:val="00861877"/>
    <w:rsid w:val="008727E9"/>
    <w:rsid w:val="0089107C"/>
    <w:rsid w:val="00893E1C"/>
    <w:rsid w:val="008958F5"/>
    <w:rsid w:val="008975C3"/>
    <w:rsid w:val="008C7A76"/>
    <w:rsid w:val="008D24C6"/>
    <w:rsid w:val="008F08F5"/>
    <w:rsid w:val="008F4645"/>
    <w:rsid w:val="008F6739"/>
    <w:rsid w:val="00900260"/>
    <w:rsid w:val="009664DE"/>
    <w:rsid w:val="0097559A"/>
    <w:rsid w:val="009D361C"/>
    <w:rsid w:val="009E70A0"/>
    <w:rsid w:val="00A41891"/>
    <w:rsid w:val="00A65D04"/>
    <w:rsid w:val="00A702CE"/>
    <w:rsid w:val="00A718C9"/>
    <w:rsid w:val="00A83C0F"/>
    <w:rsid w:val="00AA7155"/>
    <w:rsid w:val="00AB304C"/>
    <w:rsid w:val="00AC6E83"/>
    <w:rsid w:val="00AD56EE"/>
    <w:rsid w:val="00AE240A"/>
    <w:rsid w:val="00B10451"/>
    <w:rsid w:val="00B4551C"/>
    <w:rsid w:val="00B4583E"/>
    <w:rsid w:val="00B760BA"/>
    <w:rsid w:val="00B82B93"/>
    <w:rsid w:val="00BB1020"/>
    <w:rsid w:val="00BC7B1D"/>
    <w:rsid w:val="00BD1A43"/>
    <w:rsid w:val="00BE2748"/>
    <w:rsid w:val="00BE3177"/>
    <w:rsid w:val="00BE368C"/>
    <w:rsid w:val="00C07566"/>
    <w:rsid w:val="00C14CEB"/>
    <w:rsid w:val="00C230CA"/>
    <w:rsid w:val="00C404BB"/>
    <w:rsid w:val="00C52B50"/>
    <w:rsid w:val="00C75DFD"/>
    <w:rsid w:val="00C86982"/>
    <w:rsid w:val="00CA1144"/>
    <w:rsid w:val="00CA5835"/>
    <w:rsid w:val="00CC0CEA"/>
    <w:rsid w:val="00CD23AE"/>
    <w:rsid w:val="00D21793"/>
    <w:rsid w:val="00D31EB7"/>
    <w:rsid w:val="00D577F9"/>
    <w:rsid w:val="00D93149"/>
    <w:rsid w:val="00D95968"/>
    <w:rsid w:val="00D96362"/>
    <w:rsid w:val="00DA189C"/>
    <w:rsid w:val="00DC0FD9"/>
    <w:rsid w:val="00DC693B"/>
    <w:rsid w:val="00DD3CB8"/>
    <w:rsid w:val="00DF1348"/>
    <w:rsid w:val="00DF1912"/>
    <w:rsid w:val="00DF32B0"/>
    <w:rsid w:val="00E00FF6"/>
    <w:rsid w:val="00E02743"/>
    <w:rsid w:val="00E32B3E"/>
    <w:rsid w:val="00E35B82"/>
    <w:rsid w:val="00E407FE"/>
    <w:rsid w:val="00E44F93"/>
    <w:rsid w:val="00EB29A2"/>
    <w:rsid w:val="00F076E8"/>
    <w:rsid w:val="00F10C90"/>
    <w:rsid w:val="00F50E4F"/>
    <w:rsid w:val="00F6340D"/>
    <w:rsid w:val="00FA7EDA"/>
    <w:rsid w:val="00FC0949"/>
    <w:rsid w:val="00FE6F7B"/>
    <w:rsid w:val="00FE701F"/>
    <w:rsid w:val="0CE6689F"/>
    <w:rsid w:val="0D022E07"/>
    <w:rsid w:val="17D017BB"/>
    <w:rsid w:val="1D05609A"/>
    <w:rsid w:val="1DCD54F1"/>
    <w:rsid w:val="20F44BC6"/>
    <w:rsid w:val="2123558A"/>
    <w:rsid w:val="257615DA"/>
    <w:rsid w:val="285E7F7C"/>
    <w:rsid w:val="2AE51F69"/>
    <w:rsid w:val="2C3D2CBD"/>
    <w:rsid w:val="3D214B2B"/>
    <w:rsid w:val="409A36DE"/>
    <w:rsid w:val="42820D2D"/>
    <w:rsid w:val="42F935E6"/>
    <w:rsid w:val="438D6C39"/>
    <w:rsid w:val="47A6099C"/>
    <w:rsid w:val="4E72168C"/>
    <w:rsid w:val="56C94E62"/>
    <w:rsid w:val="58DC059F"/>
    <w:rsid w:val="5FA852FB"/>
    <w:rsid w:val="61061490"/>
    <w:rsid w:val="628978E8"/>
    <w:rsid w:val="67C31588"/>
    <w:rsid w:val="68CA29C5"/>
    <w:rsid w:val="68DA545B"/>
    <w:rsid w:val="6D40110C"/>
    <w:rsid w:val="70453236"/>
    <w:rsid w:val="729476F2"/>
    <w:rsid w:val="7F167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1FF2979"/>
  <w15:chartTrackingRefBased/>
  <w15:docId w15:val="{199A137A-9B91-E245-B1DD-42AE202E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CCE"/>
    <w:pPr>
      <w:widowControl w:val="0"/>
      <w:jc w:val="both"/>
    </w:pPr>
    <w:rPr>
      <w:kern w:val="2"/>
      <w:sz w:val="21"/>
      <w:szCs w:val="24"/>
    </w:rPr>
  </w:style>
  <w:style w:type="paragraph" w:styleId="3">
    <w:name w:val="heading 3"/>
    <w:basedOn w:val="a"/>
    <w:link w:val="30"/>
    <w:uiPriority w:val="9"/>
    <w:qFormat/>
    <w:pPr>
      <w:widowControl/>
      <w:spacing w:before="100" w:beforeAutospacing="1" w:after="100" w:afterAutospacing="1"/>
      <w:jc w:val="left"/>
      <w:outlineLvl w:val="2"/>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line-content2">
    <w:name w:val="headline-content2"/>
    <w:basedOn w:val="a0"/>
  </w:style>
  <w:style w:type="character" w:customStyle="1" w:styleId="a3">
    <w:name w:val="页眉 字符"/>
    <w:link w:val="a4"/>
    <w:rPr>
      <w:kern w:val="2"/>
      <w:sz w:val="18"/>
      <w:szCs w:val="18"/>
    </w:rPr>
  </w:style>
  <w:style w:type="character" w:styleId="a5">
    <w:name w:val="endnote reference"/>
    <w:rPr>
      <w:vertAlign w:val="superscript"/>
    </w:rPr>
  </w:style>
  <w:style w:type="character" w:styleId="a6">
    <w:name w:val="page number"/>
    <w:basedOn w:val="a0"/>
  </w:style>
  <w:style w:type="character" w:styleId="a7">
    <w:name w:val="Hyperlink"/>
    <w:uiPriority w:val="99"/>
    <w:unhideWhenUsed/>
    <w:rPr>
      <w:strike w:val="0"/>
      <w:dstrike w:val="0"/>
      <w:color w:val="136EC2"/>
      <w:u w:val="single"/>
    </w:rPr>
  </w:style>
  <w:style w:type="character" w:customStyle="1" w:styleId="30">
    <w:name w:val="标题 3 字符"/>
    <w:link w:val="3"/>
    <w:uiPriority w:val="9"/>
    <w:rPr>
      <w:rFonts w:ascii="宋体" w:hAnsi="宋体" w:cs="宋体"/>
      <w:b/>
      <w:bCs/>
      <w:sz w:val="24"/>
      <w:szCs w:val="24"/>
    </w:rPr>
  </w:style>
  <w:style w:type="paragraph" w:styleId="a8">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4">
    <w:name w:val="header"/>
    <w:basedOn w:val="a"/>
    <w:link w:val="a3"/>
    <w:pPr>
      <w:pBdr>
        <w:bottom w:val="single" w:sz="6" w:space="1" w:color="auto"/>
      </w:pBdr>
      <w:tabs>
        <w:tab w:val="center" w:pos="4153"/>
        <w:tab w:val="right" w:pos="8306"/>
      </w:tabs>
      <w:snapToGrid w:val="0"/>
      <w:jc w:val="center"/>
    </w:pPr>
    <w:rPr>
      <w:sz w:val="18"/>
      <w:szCs w:val="18"/>
    </w:rPr>
  </w:style>
  <w:style w:type="paragraph" w:styleId="a9">
    <w:name w:val="annotation text"/>
    <w:basedOn w:val="a"/>
    <w:pPr>
      <w:jc w:val="left"/>
    </w:pPr>
  </w:style>
  <w:style w:type="paragraph" w:styleId="aa">
    <w:name w:val="footer"/>
    <w:basedOn w:val="a"/>
    <w:pPr>
      <w:tabs>
        <w:tab w:val="center" w:pos="4153"/>
        <w:tab w:val="right" w:pos="8306"/>
      </w:tabs>
      <w:snapToGrid w:val="0"/>
      <w:jc w:val="left"/>
    </w:pPr>
    <w:rPr>
      <w:sz w:val="18"/>
      <w:szCs w:val="18"/>
    </w:rPr>
  </w:style>
  <w:style w:type="paragraph" w:styleId="ab">
    <w:name w:val="endnote text"/>
    <w:basedOn w:val="a"/>
    <w:pPr>
      <w:snapToGrid w:val="0"/>
      <w:jc w:val="left"/>
    </w:pPr>
    <w:rPr>
      <w:szCs w:val="20"/>
    </w:rPr>
  </w:style>
  <w:style w:type="paragraph" w:styleId="ac">
    <w:name w:val="caption"/>
    <w:basedOn w:val="a"/>
    <w:next w:val="a"/>
    <w:qFormat/>
    <w:rPr>
      <w:rFonts w:ascii="Arial" w:eastAsia="黑体" w:hAnsi="Arial"/>
      <w:sz w:val="20"/>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778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116</Words>
  <Characters>664</Characters>
  <Application>Microsoft Office Word</Application>
  <DocSecurity>0</DocSecurity>
  <Lines>5</Lines>
  <Paragraphs>1</Paragraphs>
  <ScaleCrop>false</ScaleCrop>
  <Company>黑龙江大学</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学院教学计划</dc:title>
  <dc:subject/>
  <dc:creator>bn</dc:creator>
  <cp:keywords/>
  <cp:lastModifiedBy>Microsoft Office User</cp:lastModifiedBy>
  <cp:revision>31</cp:revision>
  <cp:lastPrinted>2007-06-12T03:03:00Z</cp:lastPrinted>
  <dcterms:created xsi:type="dcterms:W3CDTF">2023-10-18T09:26:00Z</dcterms:created>
  <dcterms:modified xsi:type="dcterms:W3CDTF">2024-08-13T09:54:00Z</dcterms:modified>
  <dc:description/>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